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Příloha č. 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– Přihláška do Soutěže</w:t>
      </w:r>
    </w:p>
    <w:p w:rsidR="00000000" w:rsidDel="00000000" w:rsidP="00000000" w:rsidRDefault="00000000" w:rsidRPr="00000000" w14:paraId="00000002">
      <w:pPr>
        <w:tabs>
          <w:tab w:val="left" w:leader="none" w:pos="1701"/>
        </w:tabs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jc w:val="center"/>
        <w:rPr>
          <w:rFonts w:ascii="Calibri" w:cs="Calibri" w:eastAsia="Calibri" w:hAnsi="Calibri"/>
          <w:b w:val="1"/>
          <w:bCs w:val="1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0"/>
          <w:szCs w:val="40"/>
          <w:rtl w:val="0"/>
        </w:rPr>
        <w:t xml:space="preserve">PŘIHLÁŠKA DO SOUTĚŽE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40"/>
          <w:szCs w:val="40"/>
          <w:rtl w:val="0"/>
        </w:rPr>
        <w:t xml:space="preserve">VIZUÁLNÍ IDENTITA GALERIE MĚSTA PARDUBIC (GAMPA)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Identifikace zadavatele  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Centrum pro otevřenou kulturu, příspěvková organizace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IČ: </w:t>
        <w:tab/>
        <w:t xml:space="preserve">06495036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DIČ:</w:t>
        <w:tab/>
        <w:t xml:space="preserve">CZ06495036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sídlo: </w:t>
        <w:tab/>
        <w:t xml:space="preserve">Svaté Anežky České 29, Pardubice-Staré Město, 530 02 Pardubice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zapsaná: </w:t>
        <w:tab/>
        <w:t xml:space="preserve">v OR vedeném Krajským soudem v Hradci Králové oddíl Pr, vložka 1596</w:t>
      </w:r>
    </w:p>
    <w:p w:rsidR="00000000" w:rsidDel="00000000" w:rsidP="00000000" w:rsidRDefault="00000000" w:rsidRPr="00000000" w14:paraId="0000000E">
      <w:pPr>
        <w:tabs>
          <w:tab w:val="left" w:leader="none" w:pos="1985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zastoupená: </w:t>
        <w:tab/>
        <w:t xml:space="preserve">MgA. Zdeňkem Závodným, ředitelem příspěvkové organizace</w:t>
      </w:r>
    </w:p>
    <w:p w:rsidR="00000000" w:rsidDel="00000000" w:rsidP="00000000" w:rsidRDefault="00000000" w:rsidRPr="00000000" w14:paraId="0000000F">
      <w:pPr>
        <w:tabs>
          <w:tab w:val="left" w:leader="none" w:pos="1701"/>
        </w:tabs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Organizační složka: GAMPA – Galerie města Pardubic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Automatické mlýny 1962, Pardubice 530 03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Identifikace dodavatele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Název:</w:t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Právní forma:</w:t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68"/>
        </w:tabs>
        <w:spacing w:after="0" w:before="0" w:line="240" w:lineRule="auto"/>
        <w:ind w:left="1985" w:right="0" w:hanging="141.9999999999999"/>
        <w:jc w:val="both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pozn. dodavatel uvede: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68"/>
        </w:tabs>
        <w:spacing w:after="0" w:before="0" w:line="240" w:lineRule="auto"/>
        <w:ind w:left="1985" w:right="0" w:hanging="141.9999999999999"/>
        <w:jc w:val="both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Fyzická osoba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je-li dodavatelem samostatná fyzická osoba autora /nebo/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68"/>
        </w:tabs>
        <w:spacing w:after="0" w:before="0" w:line="240" w:lineRule="auto"/>
        <w:ind w:left="1985" w:right="0" w:hanging="141.9999999999999"/>
        <w:jc w:val="both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Právnická osoba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je-li dodavatelem obchodní společnost (např. s.r.o.) /nebo/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268"/>
        </w:tabs>
        <w:spacing w:after="0" w:before="0" w:line="240" w:lineRule="auto"/>
        <w:ind w:left="1985" w:right="0" w:hanging="141.9999999999999"/>
        <w:jc w:val="both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Autorský kolektiv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je-li dodavatelem kolektiv autorů fyzických osob sdružených pro účast)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985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IČ: 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sídlo: 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oprávněný zástupce: 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843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kontaktní osoba:</w:t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red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1843"/>
        </w:tabs>
        <w:jc w:val="both"/>
        <w:rPr>
          <w:rFonts w:ascii="Calibri" w:cs="Calibri" w:eastAsia="Calibri" w:hAnsi="Calibri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1843"/>
        </w:tabs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kontaktní e-mail:</w:t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red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1843"/>
        </w:tabs>
        <w:jc w:val="both"/>
        <w:rPr>
          <w:rFonts w:ascii="Calibri" w:cs="Calibri" w:eastAsia="Calibri" w:hAnsi="Calibri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43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kontaktní telefon: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red"/>
          <w:u w:val="none"/>
          <w:vertAlign w:val="baseline"/>
          <w:rtl w:val="0"/>
        </w:rPr>
        <w:t xml:space="preserve">[doplní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(dále jen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„dodavatel“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Čestné prohlášení dodavatele o akceptaci zadávacích podmínek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tímto čestně prohlašuje, že: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Respektuje veškeré požadavky zadavatele stanovené ve Výzvě k podání nabídek, Zadávací dokumentaci ve veškerých přílohách k výše uvedené veřejné zakázce, se všemi zadávacími a soutěžními podklady včetně znění Smlouvy na plnění veřejné zakázky se řádně seznámil a nečiní k nim žádné výhrady a považuje je za závazné. V případě, že by jakékoliv údaje uvedené v přihlášce dodavatele do veřejné zakázky či následné nabídce (návrhu) dodavatele v rámci Soutěže nebo standardní obchodní podmínky dodavatele byly v rozporu s požadavky zadavatele, uvedenými ve Výzvě k podání nabídek či Zadávací dokumentaci, vždy mají přednost požadavky zadavatele a zadávací podmínky této veřejné zakázky.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 rámci následné Soutěže je oprávněn odeslat pouze takový soutěžní návrh, který je výsledkem jeho vlastní tvůrčí činnosti, případně tvůrčí činnosti kolektivu autorů. Dodavatel garantuje, že vytvořením soutěžního návrhu nezasáhl do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jakýchkoliv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práv třetích osob, zejména do práv autorských a práv souvisejících s právem autorským ve smyslu zák. č. 121/2000 Sb., autorský zákon, ve znění pozdějších předpisů.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Odesláním návrhu v rámci Soutěže je oprávněn vykonávat veškerá práva související se zhotovením a užitím návrhu jako autorského díla (výjimkou je případ použití cizího písma v autorově návrhu, které je dovoleno za podmínky uvedení autora písma a informace o licenčních podmínkách jeho případného využití, v případě nepravdivosti tohoto prohlášení odpovídá dodavatel za újmu, která by tím zadavateli vznikla).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srozuměn s tím, že zadavatel má právo ponechat si všechny obdržené přihlášky / nabídky (návrhy), které byly řádně doručeny v rámci lhůty pro podávání přihlášek / nabídek (návrhů) v rámci Soutěže.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 srozuměn s tím, že zaslaný soutěžní návrh a jméno autora mohou být zadavatelem zveřejněny a dále užity k účelům výstavním, zpravodajským, archivním, propagačním a marketingovým, a to odpovídajícími způsoby užití, včetně sdělování prostřednictvím internetu (v tomto případě bez územního omezení). Toto oprávnění se uděluje jako opravňující, bezúplatné, na území České republiky a Slovenské republiky, bez časového, technologického a množstevního omezení.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Náklady, které vznikly nebo vzniknou dodavateli v souvislosti s účastí ve výběrovém řízení a následné Soutěži, nese tento dodavatel sám, a v případě, že se dodavatel stane výhercem odměny v rámci veřejné zakázky a následné Soutěže, je povinen vypořádat své daňové povinnosti, pokud mu v souvislosti s obdržením výhry (odměny) vzniknou.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Uděluje zadavateli výslovný souhlas se zpracováním osobních údajů dle zákona č. 101/2000 Sb., o ochraně osobních údajů, v platném znění, a dle Nařízení Evropského parlamentu a Rady (EU) 2016/679 o ochraně fyzických osob v souvislosti se zpracováním osobních údajů a o volném pohybu těchto údajů (GDPR) a zveřejněním údajů za podmínek vyplývajících z příslušných právních předpisů (zejména zákona č. 106/1999 Sb., o svobodném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přístupu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 informacím, v platném znění a zákona č. 340/2015 Sb., o registru smluv).</w:t>
      </w:r>
    </w:p>
    <w:p w:rsidR="00000000" w:rsidDel="00000000" w:rsidP="00000000" w:rsidRDefault="00000000" w:rsidRPr="00000000" w14:paraId="00000033">
      <w:pPr>
        <w:jc w:val="both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tímto čestně prohlašuje, že podáním přihlášky či nabídky (návrhu) v tomto výběrovém řízení je svou přihláškou či následnou nabídkou (návrhem) v rámci Soutěže vázán po dobu 6 měsíců, kdy počátkem této zadávací lhůty je konec lhůty pro podání přihlášky či následně nabídky (návrhu) v rámci Soutěže.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Čestné prohlášení dodavatele O ZÁKLADNÍ ZPŮSOBILOSTI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jako účastník výběrového řízení tímto prokazuje splnění základní způsobilosti, kdy čestně prohlašuje, že je dodavatelem, který: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284" w:hanging="284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nebyl v zemi svého sídla v posledních 5 letech před zahájením výběrového řízení pravomocně odsouzen pro trestný čin uvedený v příloze č. 3 zákona č. 134/2016 Sb., o zadávání veřejných zakázek, ve znění pozdějších předpisů nebo obdobný trestný čin podle právního řádu země sídla dodavatele; k zahlazeným odsouzením se nepřihlíží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(Je-li dodavatelem (účastníkem) právnická osoba, podmínku podle tohoto písm. a) splňuje tato právnická osoba a zároveň každý člen statutárního orgánu. Je-li členem statutárního orgánu dodavatele právnická osoba, podmínku podle tohoto písm. a) splňuje tato právnická osoba, každý člen statutárního orgánu této právnické osoby a osoba zastupující tuto právnickou osobu v statutárním orgánu dodavatele. Účastní-li se výběrového řízení pobočka závodu zahraniční právnické osoby podmínku podle tohoto písm. a) splňuje tato právnická osoba a vedoucí pobočky závodu. Účastní-li se výběrového řízení pobočka závodu české právnické osoby, podmínku podle tohoto písm. a) splňuje tato právnická osoba a zároveň každý člen statutárního orgánu. Je-li členem statutárního orgánu dodavatele právnická osoba, podmínku podle tohoto písm. a) splňuje tato právnická osoba, každý člen statutárního orgánu této právnické osoby a osoba zastupující tuto právnickou osobu ve statutárním orgánu dodavatele.)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nemá v České republice nebo v zemi svého sídla v evidenci daní zachycen splatný daňový nedoplatek, a to ani nedoplatek ve vztahu ke spotřební dani;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nemá v České republice nebo v zemi svého sídla splatný nedoplatek na pojistném nebo na penále na veřejné zdravotní pojištění;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nemá v České republice nebo v zemi svého sídla splatný nedoplatek na pojistném nebo na penále na sociální zabezpečení a příspěvku na státní politiku zaměstnanosti;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není v likvidaci 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dle ustanovení § 187 zákona č. 89/2012 Sb., občanský zákoník)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proti němuž nebylo vydáno rozhodnutí o úpadku 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dle ustanovení § 136 zákona č. 182/2006 Sb., o úpadku a způsobech jeho řešení (insolvenční zákon))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vůči němuž nebyla nařízena nucená správa podle jiného právního předpisu 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např. dle zákona č. 21/1992 Sb., o bankách, zákona č. 87/1995 Sb., o spořitelních a úvěrních družstvech, zákona č. 363/1999 Sb., o pojišťovnictví)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nebo v obdobné situaci podle právního řádu země sídla dodavatele.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893444</wp:posOffset>
            </wp:positionH>
            <wp:positionV relativeFrom="paragraph">
              <wp:posOffset>9644380</wp:posOffset>
            </wp:positionV>
            <wp:extent cx="5637530" cy="928370"/>
            <wp:effectExtent b="0" l="0" r="0" t="0"/>
            <wp:wrapNone/>
            <wp:docPr descr="Obsah obrázku text, snímek obrazovky, Písmo, logo&#10;&#10;Obsah generovaný pomocí AI může být nesprávný." id="1" name="image1.jpg"/>
            <a:graphic>
              <a:graphicData uri="http://schemas.openxmlformats.org/drawingml/2006/picture">
                <pic:pic>
                  <pic:nvPicPr>
                    <pic:cNvPr descr="Obsah obrázku text, snímek obrazovky, Písmo, logo&#10;&#10;Obsah generovaný pomocí AI může být nesprávný.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7530" cy="9283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Čestné prohlášení dodavatele O PROFESNÍ ZPŮSOBILOSTI</w:t>
      </w:r>
    </w:p>
    <w:p w:rsidR="00000000" w:rsidDel="00000000" w:rsidP="00000000" w:rsidRDefault="00000000" w:rsidRPr="00000000" w14:paraId="00000040">
      <w:pPr>
        <w:jc w:val="both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jako účastník výběrového řízení tímto prokazuje splnění profesní způsobilosti, kdy čestně prohlašuje, že je dodavatelem, který:</w:t>
      </w:r>
    </w:p>
    <w:p w:rsidR="00000000" w:rsidDel="00000000" w:rsidP="00000000" w:rsidRDefault="00000000" w:rsidRPr="00000000" w14:paraId="00000042">
      <w:pPr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a) </w:t>
        <w:tab/>
        <w:t xml:space="preserve">je ve vztahu k České republice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zapsán do obchodního rejstříku nebo jiné obdobné evidence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pokud jiný právní předpis zápis do takové evidence vyžaduje, a v takovém případě disponuje výpisem z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obchodního rejstříku nebo jiné obdobné evidence;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284" w:hanging="284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b)</w:t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disponuje oprávněním podnikat v rozsahu odpovídajícímu předmětu veřejné zakázky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prokazující příslušné živnostenské oprávnění či licenci (pokud jiné právní předpisy takové oprávnění vyžadují),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obsahující minimálně následující oprávnění: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87"/>
        </w:tabs>
        <w:spacing w:after="0" w:before="0" w:line="240" w:lineRule="auto"/>
        <w:ind w:left="567" w:right="0" w:hanging="207.00000000000003"/>
        <w:jc w:val="both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Příprava a vypracování technických návrhů, grafické a kresličské práce, a/nebo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87"/>
        </w:tabs>
        <w:spacing w:after="0" w:before="0" w:line="240" w:lineRule="auto"/>
        <w:ind w:left="567" w:right="0" w:hanging="207.00000000000003"/>
        <w:jc w:val="both"/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Návrhářská, designérská, aranžérská činnost a modeling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01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right="6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Čestné prohlášení dodavatele O TECHNICKÉ KVALIFIKACI</w:t>
      </w:r>
    </w:p>
    <w:p w:rsidR="00000000" w:rsidDel="00000000" w:rsidP="00000000" w:rsidRDefault="00000000" w:rsidRPr="00000000" w14:paraId="00000048">
      <w:pPr>
        <w:jc w:val="both"/>
        <w:rPr>
          <w:rFonts w:ascii="Calibri" w:cs="Calibri" w:eastAsia="Calibri" w:hAnsi="Calibri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jako účastník výběrového řízení tímto prokazuje splnění zadavatelem požadované technické kvalifikace v rozsahu prokázání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seznamu významných služeb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realizovaných (poskytnutých) dodavatelem (dále jen „referenční zakázky“), kdy tímto čestně prohlašuje a níže předkládá tento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Referenční list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Calibri" w:cs="Calibri" w:eastAsia="Calibri" w:hAnsi="Calibri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9"/>
        <w:gridCol w:w="5670"/>
        <w:tblGridChange w:id="0">
          <w:tblGrid>
            <w:gridCol w:w="3969"/>
            <w:gridCol w:w="5670"/>
          </w:tblGrid>
        </w:tblGridChange>
      </w:tblGrid>
      <w:tr>
        <w:trPr>
          <w:cantSplit w:val="1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Referenční zakázka č. 1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Objednatel referenční zakázky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(obchodní firma/název, adresa)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Předmět/ popis referenční zakázky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(popis rozsahu plnění, tj.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u w:val="single"/>
                <w:rtl w:val="0"/>
              </w:rPr>
              <w:t xml:space="preserve">obsah služeb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Termín (doba) plnění referenční zakázky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(ve formátu: MM/RRRR až MM/RRRR)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Kontaktní osoba objednatele k ověření referenční zakázky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jméno a příjmení, kontaktní telefon a e-mail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both"/>
        <w:rPr>
          <w:rFonts w:ascii="Calibri" w:cs="Calibri" w:eastAsia="Calibri" w:hAnsi="Calibri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9"/>
        <w:gridCol w:w="5670"/>
        <w:tblGridChange w:id="0">
          <w:tblGrid>
            <w:gridCol w:w="3969"/>
            <w:gridCol w:w="5670"/>
          </w:tblGrid>
        </w:tblGridChange>
      </w:tblGrid>
      <w:tr>
        <w:trPr>
          <w:cantSplit w:val="1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Referenční zakázka č. 2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A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Objednatel referenční zakázky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(obchodní firma/název, adresa)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Předmět/ popis referenční zakázky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(popis rozsahu plnění, tj.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u w:val="single"/>
                <w:rtl w:val="0"/>
              </w:rPr>
              <w:t xml:space="preserve">obsah služeb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Termín (doba) plnění referenční zakázky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(ve formátu: MM/RRRR až MM/RRRR)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2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Kontaktní osoba objednatele k ověření referenční zakázky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jméno a příjmení, kontaktní telefon a e-mail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jc w:val="both"/>
        <w:rPr>
          <w:rFonts w:ascii="Calibri" w:cs="Calibri" w:eastAsia="Calibri" w:hAnsi="Calibri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rFonts w:ascii="Calibri" w:cs="Calibri" w:eastAsia="Calibri" w:hAnsi="Calibri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9"/>
        <w:gridCol w:w="5670"/>
        <w:tblGridChange w:id="0">
          <w:tblGrid>
            <w:gridCol w:w="3969"/>
            <w:gridCol w:w="5670"/>
          </w:tblGrid>
        </w:tblGridChange>
      </w:tblGrid>
      <w:tr>
        <w:trPr>
          <w:cantSplit w:val="1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Referenční zakázka č. 3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Objednatel referenční zakázky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Calibri" w:cs="Calibri" w:eastAsia="Calibri" w:hAnsi="Calibri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(obchodní firma/název, adresa)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Předmět/ popis referenční zakázky 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(popis rozsahu plnění, tj.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u w:val="single"/>
                <w:rtl w:val="0"/>
              </w:rPr>
              <w:t xml:space="preserve">obsah služeb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Termín (doba) plnění referenční zakázky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(ve formátu: MM/RRRR až MM/RRRR)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Kontaktní osoba objednatele k ověření referenční zakázky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"/>
                <w:szCs w:val="22"/>
                <w:rtl w:val="0"/>
              </w:rPr>
              <w:t xml:space="preserve">jméno a příjmení, kontaktní telefon a e-mail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highlight w:val="red"/>
                <w:rtl w:val="0"/>
              </w:rPr>
              <w:t xml:space="preserve">[doplní dodavatel]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jc w:val="both"/>
        <w:rPr>
          <w:rFonts w:ascii="Calibri" w:cs="Calibri" w:eastAsia="Calibri" w:hAnsi="Calibri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Dodavatel (účastník) prohlašuje, že přílohou této Přihlášky do Soutěže je zároveň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Portfolio realizovaných zakázek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, zejména těch prokazovaných v rámci shora uvedeného Referenčního listu.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rFonts w:ascii="Calibri" w:cs="Calibri" w:eastAsia="Calibri" w:hAnsi="Calibri"/>
          <w:sz w:val="22"/>
          <w:szCs w:val="22"/>
          <w:highlight w:val="red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 </w:t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red"/>
          <w:rtl w:val="0"/>
        </w:rPr>
        <w:t xml:space="preserve">[doplní dodavatel]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dne </w:t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red"/>
          <w:rtl w:val="0"/>
        </w:rPr>
        <w:t xml:space="preserve">[doplní dodavatel]</w:t>
      </w:r>
    </w:p>
    <w:p w:rsidR="00000000" w:rsidDel="00000000" w:rsidP="00000000" w:rsidRDefault="00000000" w:rsidRPr="00000000" w14:paraId="00000077">
      <w:pPr>
        <w:ind w:left="3402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………………………………………………..…………………………………………………………</w:t>
      </w:r>
    </w:p>
    <w:p w:rsidR="00000000" w:rsidDel="00000000" w:rsidP="00000000" w:rsidRDefault="00000000" w:rsidRPr="00000000" w14:paraId="00000078">
      <w:pPr>
        <w:ind w:left="3402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red"/>
          <w:rtl w:val="0"/>
        </w:rPr>
        <w:t xml:space="preserve">[název dodavatele a osoby zastupující dodavatele – doplní dodavatel]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3402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Podpis dodavatele (účastníka)</w:t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548" w:hanging="360"/>
      </w:pPr>
      <w:rPr/>
    </w:lvl>
    <w:lvl w:ilvl="1">
      <w:start w:val="1"/>
      <w:numFmt w:val="lowerLetter"/>
      <w:lvlText w:val="%2."/>
      <w:lvlJc w:val="left"/>
      <w:pPr>
        <w:ind w:left="1268" w:hanging="360"/>
      </w:pPr>
      <w:rPr/>
    </w:lvl>
    <w:lvl w:ilvl="2">
      <w:start w:val="1"/>
      <w:numFmt w:val="lowerRoman"/>
      <w:lvlText w:val="%3."/>
      <w:lvlJc w:val="right"/>
      <w:pPr>
        <w:ind w:left="1988" w:hanging="180"/>
      </w:pPr>
      <w:rPr/>
    </w:lvl>
    <w:lvl w:ilvl="3">
      <w:start w:val="1"/>
      <w:numFmt w:val="decimal"/>
      <w:lvlText w:val="%4."/>
      <w:lvlJc w:val="left"/>
      <w:pPr>
        <w:ind w:left="2708" w:hanging="360"/>
      </w:pPr>
      <w:rPr/>
    </w:lvl>
    <w:lvl w:ilvl="4">
      <w:start w:val="1"/>
      <w:numFmt w:val="lowerLetter"/>
      <w:lvlText w:val="%5."/>
      <w:lvlJc w:val="left"/>
      <w:pPr>
        <w:ind w:left="3428" w:hanging="360"/>
      </w:pPr>
      <w:rPr/>
    </w:lvl>
    <w:lvl w:ilvl="5">
      <w:start w:val="1"/>
      <w:numFmt w:val="lowerRoman"/>
      <w:lvlText w:val="%6."/>
      <w:lvlJc w:val="right"/>
      <w:pPr>
        <w:ind w:left="4148" w:hanging="180"/>
      </w:pPr>
      <w:rPr/>
    </w:lvl>
    <w:lvl w:ilvl="6">
      <w:start w:val="1"/>
      <w:numFmt w:val="decimal"/>
      <w:lvlText w:val="%7."/>
      <w:lvlJc w:val="left"/>
      <w:pPr>
        <w:ind w:left="4868" w:hanging="360"/>
      </w:pPr>
      <w:rPr/>
    </w:lvl>
    <w:lvl w:ilvl="7">
      <w:start w:val="1"/>
      <w:numFmt w:val="lowerLetter"/>
      <w:lvlText w:val="%8."/>
      <w:lvlJc w:val="left"/>
      <w:pPr>
        <w:ind w:left="5588" w:hanging="360"/>
      </w:pPr>
      <w:rPr/>
    </w:lvl>
    <w:lvl w:ilvl="8">
      <w:start w:val="1"/>
      <w:numFmt w:val="lowerRoman"/>
      <w:lvlText w:val="%9."/>
      <w:lvlJc w:val="right"/>
      <w:pPr>
        <w:ind w:left="6308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270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414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86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30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702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46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0/HPN/MZI6frCnkeIJO2+4h5hQ==">CgMxLjA4AHIhMWpQVkdselZPQmFDQlI0S3VEdVU1bXhEOGhGNVFYQnRN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